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67B284CA" w14:textId="2B470D56" w:rsidR="008D1036" w:rsidRPr="008D1036" w:rsidRDefault="008D1036" w:rsidP="008D1036">
      <w:pPr>
        <w:jc w:val="center"/>
        <w:rPr>
          <w:rFonts w:asciiTheme="minorHAnsi" w:hAnsiTheme="minorHAnsi" w:cstheme="minorHAnsi"/>
          <w:i/>
          <w:sz w:val="20"/>
        </w:rPr>
      </w:pPr>
    </w:p>
    <w:p w14:paraId="469D33AA" w14:textId="3E065782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66261E">
        <w:rPr>
          <w:rFonts w:asciiTheme="minorHAnsi" w:hAnsiTheme="minorHAnsi" w:cstheme="minorHAnsi"/>
        </w:rPr>
        <w:t xml:space="preserve"> Heřmanice</w:t>
      </w: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6F22816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66261E">
        <w:rPr>
          <w:rFonts w:asciiTheme="minorHAnsi" w:hAnsiTheme="minorHAnsi" w:cstheme="minorHAnsi"/>
          <w:sz w:val="22"/>
        </w:rPr>
        <w:t>20 minut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66261E">
        <w:rPr>
          <w:rFonts w:asciiTheme="minorHAnsi" w:hAnsiTheme="minorHAnsi" w:cstheme="minorHAnsi"/>
          <w:sz w:val="22"/>
        </w:rPr>
        <w:t>250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9438C8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793DFA4C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54886CAB" w14:textId="72333E19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obecního úřadu v úředních hodinách nebo převodem na bankovní účet obce zveřejněný </w:t>
      </w:r>
      <w:r w:rsidR="009438C8" w:rsidRPr="009438C8">
        <w:rPr>
          <w:rFonts w:asciiTheme="minorHAnsi" w:hAnsiTheme="minorHAnsi" w:cstheme="minorHAnsi"/>
          <w:sz w:val="22"/>
        </w:rPr>
        <w:t>http://www.hermanice.webz.cz/kontakty.htm</w:t>
      </w:r>
    </w:p>
    <w:p w14:paraId="10BDBA89" w14:textId="2369DF7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</w:t>
      </w:r>
      <w:r w:rsidR="00A21A61">
        <w:rPr>
          <w:rFonts w:asciiTheme="minorHAnsi" w:hAnsiTheme="minorHAnsi" w:cstheme="minorHAnsi"/>
          <w:sz w:val="22"/>
        </w:rPr>
        <w:t>bník nabývá účinnosti dnem schválení.</w:t>
      </w:r>
      <w:bookmarkStart w:id="0" w:name="_GoBack"/>
      <w:bookmarkEnd w:id="0"/>
    </w:p>
    <w:p w14:paraId="59A9C826" w14:textId="5E6FC665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9438C8">
        <w:rPr>
          <w:rFonts w:asciiTheme="minorHAnsi" w:hAnsiTheme="minorHAnsi" w:cstheme="minorHAnsi"/>
          <w:sz w:val="22"/>
        </w:rPr>
        <w:t>starostou obce dne 21.5.2018.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4762B6E4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9438C8">
        <w:rPr>
          <w:rFonts w:asciiTheme="minorHAnsi" w:hAnsiTheme="minorHAnsi" w:cstheme="minorHAnsi"/>
          <w:sz w:val="22"/>
        </w:rPr>
        <w:t xml:space="preserve"> Heřmanicích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 w:rsidR="009438C8">
        <w:rPr>
          <w:rFonts w:asciiTheme="minorHAnsi" w:hAnsiTheme="minorHAnsi" w:cstheme="minorHAnsi"/>
          <w:sz w:val="22"/>
        </w:rPr>
        <w:t>22.5.2018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6AFE5C59" w:rsidR="008D1036" w:rsidRPr="00D672DC" w:rsidRDefault="009438C8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Antonín Dvořák, </w:t>
      </w:r>
      <w:r w:rsidR="008D1036" w:rsidRPr="00D672DC">
        <w:rPr>
          <w:rFonts w:asciiTheme="minorHAnsi" w:hAnsiTheme="minorHAnsi" w:cstheme="minorHAnsi"/>
          <w:sz w:val="22"/>
        </w:rPr>
        <w:t>starosta obce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5044" w14:textId="77777777" w:rsidR="00332F54" w:rsidRDefault="00332F54">
      <w:r>
        <w:separator/>
      </w:r>
    </w:p>
  </w:endnote>
  <w:endnote w:type="continuationSeparator" w:id="0">
    <w:p w14:paraId="2818670B" w14:textId="77777777" w:rsidR="00332F54" w:rsidRDefault="0033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1A61">
      <w:rPr>
        <w:rStyle w:val="slostrnky"/>
        <w:noProof/>
      </w:rPr>
      <w:t>1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1B9E" w14:textId="77777777" w:rsidR="00332F54" w:rsidRDefault="00332F54">
      <w:r>
        <w:separator/>
      </w:r>
    </w:p>
  </w:footnote>
  <w:footnote w:type="continuationSeparator" w:id="0">
    <w:p w14:paraId="61367954" w14:textId="77777777" w:rsidR="00332F54" w:rsidRDefault="0033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17D47"/>
    <w:rsid w:val="00097867"/>
    <w:rsid w:val="000E6575"/>
    <w:rsid w:val="001215E0"/>
    <w:rsid w:val="001C6ACE"/>
    <w:rsid w:val="001F2538"/>
    <w:rsid w:val="00205FA9"/>
    <w:rsid w:val="002650A8"/>
    <w:rsid w:val="002B2CB6"/>
    <w:rsid w:val="00332F54"/>
    <w:rsid w:val="0033501F"/>
    <w:rsid w:val="00397BFD"/>
    <w:rsid w:val="003D3E63"/>
    <w:rsid w:val="00430957"/>
    <w:rsid w:val="00456A46"/>
    <w:rsid w:val="004B34FC"/>
    <w:rsid w:val="004D69D4"/>
    <w:rsid w:val="00620649"/>
    <w:rsid w:val="0063500C"/>
    <w:rsid w:val="0066261E"/>
    <w:rsid w:val="006754F1"/>
    <w:rsid w:val="006B7F5A"/>
    <w:rsid w:val="00710558"/>
    <w:rsid w:val="008052AC"/>
    <w:rsid w:val="0081442B"/>
    <w:rsid w:val="00827F04"/>
    <w:rsid w:val="0089572F"/>
    <w:rsid w:val="008C0410"/>
    <w:rsid w:val="008D1036"/>
    <w:rsid w:val="008F7335"/>
    <w:rsid w:val="009015CF"/>
    <w:rsid w:val="0093593F"/>
    <w:rsid w:val="009438C8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21A61"/>
    <w:rsid w:val="00A5363B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D2506-BE50-40AC-AFA3-83E440CF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Jitka Horáková</cp:lastModifiedBy>
  <cp:revision>8</cp:revision>
  <cp:lastPrinted>2018-05-23T18:42:00Z</cp:lastPrinted>
  <dcterms:created xsi:type="dcterms:W3CDTF">2018-05-20T21:30:00Z</dcterms:created>
  <dcterms:modified xsi:type="dcterms:W3CDTF">2020-06-19T16:56:00Z</dcterms:modified>
</cp:coreProperties>
</file>