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CA2" w:rsidRDefault="004C4CA2" w:rsidP="004C4CA2">
      <w:pPr>
        <w:pStyle w:val="Default"/>
        <w:jc w:val="center"/>
        <w:rPr>
          <w:rFonts w:ascii="Times New Roman" w:hAnsi="Times New Roman" w:cs="Times New Roman"/>
          <w:sz w:val="40"/>
          <w:szCs w:val="40"/>
        </w:rPr>
      </w:pPr>
      <w:r w:rsidRPr="004C4CA2">
        <w:rPr>
          <w:rFonts w:ascii="Times New Roman" w:hAnsi="Times New Roman" w:cs="Times New Roman"/>
          <w:sz w:val="40"/>
          <w:szCs w:val="40"/>
        </w:rPr>
        <w:t>Výroční zprá</w:t>
      </w:r>
      <w:r>
        <w:rPr>
          <w:rFonts w:ascii="Times New Roman" w:hAnsi="Times New Roman" w:cs="Times New Roman"/>
          <w:sz w:val="40"/>
          <w:szCs w:val="40"/>
        </w:rPr>
        <w:t>va za rok 201</w:t>
      </w:r>
      <w:r w:rsidR="004808F6">
        <w:rPr>
          <w:rFonts w:ascii="Times New Roman" w:hAnsi="Times New Roman" w:cs="Times New Roman"/>
          <w:sz w:val="40"/>
          <w:szCs w:val="40"/>
        </w:rPr>
        <w:t>9</w:t>
      </w:r>
    </w:p>
    <w:p w:rsidR="004C4CA2" w:rsidRDefault="004C4CA2" w:rsidP="004C4CA2">
      <w:pPr>
        <w:pStyle w:val="Default"/>
        <w:jc w:val="center"/>
        <w:rPr>
          <w:rFonts w:ascii="Times New Roman" w:hAnsi="Times New Roman" w:cs="Times New Roman"/>
        </w:rPr>
      </w:pPr>
    </w:p>
    <w:p w:rsidR="004C4CA2" w:rsidRDefault="004C4CA2" w:rsidP="004C4CA2">
      <w:pPr>
        <w:pStyle w:val="Default"/>
        <w:jc w:val="center"/>
        <w:rPr>
          <w:rFonts w:ascii="Times New Roman" w:hAnsi="Times New Roman" w:cs="Times New Roman"/>
        </w:rPr>
      </w:pPr>
      <w:r w:rsidRPr="004C4CA2">
        <w:rPr>
          <w:rFonts w:ascii="Times New Roman" w:hAnsi="Times New Roman" w:cs="Times New Roman"/>
        </w:rPr>
        <w:t xml:space="preserve">o činnosti obce </w:t>
      </w:r>
      <w:r w:rsidR="00964EC2">
        <w:rPr>
          <w:rFonts w:ascii="Times New Roman" w:hAnsi="Times New Roman" w:cs="Times New Roman"/>
        </w:rPr>
        <w:t>Heřmanice</w:t>
      </w:r>
      <w:r w:rsidRPr="004C4CA2">
        <w:rPr>
          <w:rFonts w:ascii="Times New Roman" w:hAnsi="Times New Roman" w:cs="Times New Roman"/>
        </w:rPr>
        <w:t xml:space="preserve"> v oblasti poskytování informací dle § 18 zákona č. 106/1999 Sb., o svobodném přístupu k informacím, ve znění pozdějších předpisů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InfZ</w:t>
      </w:r>
      <w:proofErr w:type="spellEnd"/>
      <w:r>
        <w:rPr>
          <w:rFonts w:ascii="Times New Roman" w:hAnsi="Times New Roman" w:cs="Times New Roman"/>
        </w:rPr>
        <w:t>)</w:t>
      </w:r>
    </w:p>
    <w:p w:rsidR="004C4CA2" w:rsidRPr="004C4CA2" w:rsidRDefault="004C4CA2" w:rsidP="004C4CA2">
      <w:pPr>
        <w:pStyle w:val="Default"/>
        <w:jc w:val="center"/>
        <w:rPr>
          <w:rFonts w:ascii="Times New Roman" w:hAnsi="Times New Roman" w:cs="Times New Roman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C4CA2">
        <w:rPr>
          <w:rFonts w:ascii="Times New Roman" w:hAnsi="Times New Roman" w:cs="Times New Roman"/>
          <w:sz w:val="23"/>
          <w:szCs w:val="23"/>
        </w:rPr>
        <w:t xml:space="preserve">- počet žádostí o informace dle </w:t>
      </w:r>
      <w:proofErr w:type="spellStart"/>
      <w:r w:rsidRPr="004C4CA2">
        <w:rPr>
          <w:rFonts w:ascii="Times New Roman" w:hAnsi="Times New Roman" w:cs="Times New Roman"/>
          <w:sz w:val="23"/>
          <w:szCs w:val="23"/>
        </w:rPr>
        <w:t>InfZ</w:t>
      </w:r>
      <w:proofErr w:type="spellEnd"/>
      <w:r w:rsidRPr="004C4CA2">
        <w:rPr>
          <w:rFonts w:ascii="Times New Roman" w:hAnsi="Times New Roman" w:cs="Times New Roman"/>
          <w:sz w:val="23"/>
          <w:szCs w:val="23"/>
        </w:rPr>
        <w:t>, které obec obdržela v roce 201</w:t>
      </w:r>
      <w:r w:rsidR="004808F6">
        <w:rPr>
          <w:rFonts w:ascii="Times New Roman" w:hAnsi="Times New Roman" w:cs="Times New Roman"/>
          <w:sz w:val="23"/>
          <w:szCs w:val="23"/>
        </w:rPr>
        <w:t>9</w:t>
      </w:r>
      <w:r w:rsidRPr="004C4CA2">
        <w:rPr>
          <w:rFonts w:ascii="Times New Roman" w:hAnsi="Times New Roman" w:cs="Times New Roman"/>
          <w:sz w:val="23"/>
          <w:szCs w:val="23"/>
        </w:rPr>
        <w:t xml:space="preserve">: </w:t>
      </w:r>
      <w:r>
        <w:rPr>
          <w:rFonts w:ascii="Times New Roman" w:hAnsi="Times New Roman" w:cs="Times New Roman"/>
          <w:sz w:val="23"/>
          <w:szCs w:val="23"/>
        </w:rPr>
        <w:tab/>
      </w:r>
      <w:r w:rsidR="00874958">
        <w:rPr>
          <w:rFonts w:ascii="Times New Roman" w:hAnsi="Times New Roman" w:cs="Times New Roman"/>
          <w:sz w:val="23"/>
          <w:szCs w:val="23"/>
        </w:rPr>
        <w:t>1</w:t>
      </w:r>
      <w:bookmarkStart w:id="0" w:name="_GoBack"/>
      <w:bookmarkEnd w:id="0"/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C4CA2">
        <w:rPr>
          <w:rFonts w:ascii="Times New Roman" w:hAnsi="Times New Roman" w:cs="Times New Roman"/>
          <w:sz w:val="23"/>
          <w:szCs w:val="23"/>
        </w:rPr>
        <w:t xml:space="preserve">- počet rozhodnutí o odmítnutí žádosti: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0 </w:t>
      </w: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b) počet podaných odvolání proti rozhodnutí: </w:t>
      </w:r>
      <w:r>
        <w:rPr>
          <w:rFonts w:ascii="Times New Roman" w:hAnsi="Times New Roman" w:cs="Times New Roman"/>
          <w:b/>
          <w:bCs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sz w:val="23"/>
          <w:szCs w:val="23"/>
        </w:rPr>
        <w:tab/>
      </w: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0 </w:t>
      </w: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C4CA2">
        <w:rPr>
          <w:rFonts w:ascii="Times New Roman" w:hAnsi="Times New Roman" w:cs="Times New Roman"/>
          <w:sz w:val="23"/>
          <w:szCs w:val="23"/>
        </w:rPr>
        <w:t xml:space="preserve">- </w:t>
      </w: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žádný rozsudek </w:t>
      </w:r>
      <w:r w:rsidRPr="004C4CA2">
        <w:rPr>
          <w:rFonts w:ascii="Times New Roman" w:hAnsi="Times New Roman" w:cs="Times New Roman"/>
          <w:sz w:val="23"/>
          <w:szCs w:val="23"/>
        </w:rPr>
        <w:t xml:space="preserve">ve věci přezkoumání zákonnosti rozhodnutí obce o odmítnutí žádosti o poskytnutí informace </w:t>
      </w:r>
      <w:r>
        <w:rPr>
          <w:rFonts w:ascii="Times New Roman" w:hAnsi="Times New Roman" w:cs="Times New Roman"/>
          <w:b/>
          <w:bCs/>
          <w:sz w:val="23"/>
          <w:szCs w:val="23"/>
        </w:rPr>
        <w:t>nebyl v roce 201</w:t>
      </w:r>
      <w:r w:rsidR="004808F6">
        <w:rPr>
          <w:rFonts w:ascii="Times New Roman" w:hAnsi="Times New Roman" w:cs="Times New Roman"/>
          <w:b/>
          <w:bCs/>
          <w:sz w:val="23"/>
          <w:szCs w:val="23"/>
        </w:rPr>
        <w:t>9</w:t>
      </w: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 vydán </w:t>
      </w: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C4CA2">
        <w:rPr>
          <w:rFonts w:ascii="Times New Roman" w:hAnsi="Times New Roman" w:cs="Times New Roman"/>
          <w:sz w:val="23"/>
          <w:szCs w:val="23"/>
        </w:rPr>
        <w:t>- výhradní</w:t>
      </w:r>
      <w:r>
        <w:rPr>
          <w:rFonts w:ascii="Times New Roman" w:hAnsi="Times New Roman" w:cs="Times New Roman"/>
          <w:sz w:val="23"/>
          <w:szCs w:val="23"/>
        </w:rPr>
        <w:t xml:space="preserve"> licence v roce 201</w:t>
      </w:r>
      <w:r w:rsidR="004808F6">
        <w:rPr>
          <w:rFonts w:ascii="Times New Roman" w:hAnsi="Times New Roman" w:cs="Times New Roman"/>
          <w:sz w:val="23"/>
          <w:szCs w:val="23"/>
        </w:rPr>
        <w:t>9</w:t>
      </w:r>
      <w:r w:rsidRPr="004C4CA2">
        <w:rPr>
          <w:rFonts w:ascii="Times New Roman" w:hAnsi="Times New Roman" w:cs="Times New Roman"/>
          <w:sz w:val="23"/>
          <w:szCs w:val="23"/>
        </w:rPr>
        <w:t xml:space="preserve"> </w:t>
      </w: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nebyly poskytnuty </w:t>
      </w: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C4CA2">
        <w:rPr>
          <w:rFonts w:ascii="Times New Roman" w:hAnsi="Times New Roman" w:cs="Times New Roman"/>
          <w:b/>
          <w:bCs/>
          <w:sz w:val="23"/>
          <w:szCs w:val="23"/>
        </w:rPr>
        <w:t xml:space="preserve">e) počet stížností podaných podle § 16a </w:t>
      </w:r>
      <w:proofErr w:type="spellStart"/>
      <w:r w:rsidRPr="004C4CA2">
        <w:rPr>
          <w:rFonts w:ascii="Times New Roman" w:hAnsi="Times New Roman" w:cs="Times New Roman"/>
          <w:b/>
          <w:bCs/>
          <w:sz w:val="23"/>
          <w:szCs w:val="23"/>
        </w:rPr>
        <w:t>InfZ</w:t>
      </w:r>
      <w:proofErr w:type="spellEnd"/>
      <w:r w:rsidRPr="004C4CA2">
        <w:rPr>
          <w:rFonts w:ascii="Times New Roman" w:hAnsi="Times New Roman" w:cs="Times New Roman"/>
          <w:b/>
          <w:bCs/>
          <w:sz w:val="23"/>
          <w:szCs w:val="23"/>
        </w:rPr>
        <w:t>, důvody jejich podání a stručný popis způsobu jejich vyřízení</w:t>
      </w: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4C4CA2">
        <w:rPr>
          <w:rFonts w:ascii="Times New Roman" w:hAnsi="Times New Roman" w:cs="Times New Roman"/>
          <w:color w:val="auto"/>
          <w:sz w:val="23"/>
          <w:szCs w:val="23"/>
        </w:rPr>
        <w:t xml:space="preserve">- počet stížností podaných dle § 16a </w:t>
      </w:r>
      <w:proofErr w:type="spellStart"/>
      <w:r w:rsidRPr="004C4CA2">
        <w:rPr>
          <w:rFonts w:ascii="Times New Roman" w:hAnsi="Times New Roman" w:cs="Times New Roman"/>
          <w:color w:val="auto"/>
          <w:sz w:val="23"/>
          <w:szCs w:val="23"/>
        </w:rPr>
        <w:t>InfZ</w:t>
      </w:r>
      <w:proofErr w:type="spellEnd"/>
      <w:r w:rsidRPr="004C4CA2">
        <w:rPr>
          <w:rFonts w:ascii="Times New Roman" w:hAnsi="Times New Roman" w:cs="Times New Roman"/>
          <w:color w:val="auto"/>
          <w:sz w:val="23"/>
          <w:szCs w:val="23"/>
        </w:rPr>
        <w:t xml:space="preserve">: </w:t>
      </w:r>
      <w:r>
        <w:rPr>
          <w:rFonts w:ascii="Times New Roman" w:hAnsi="Times New Roman" w:cs="Times New Roman"/>
          <w:color w:val="auto"/>
          <w:sz w:val="23"/>
          <w:szCs w:val="23"/>
        </w:rPr>
        <w:tab/>
      </w:r>
      <w:r>
        <w:rPr>
          <w:rFonts w:ascii="Times New Roman" w:hAnsi="Times New Roman" w:cs="Times New Roman"/>
          <w:color w:val="auto"/>
          <w:sz w:val="23"/>
          <w:szCs w:val="23"/>
        </w:rPr>
        <w:tab/>
      </w:r>
      <w:r>
        <w:rPr>
          <w:rFonts w:ascii="Times New Roman" w:hAnsi="Times New Roman" w:cs="Times New Roman"/>
          <w:color w:val="auto"/>
          <w:sz w:val="23"/>
          <w:szCs w:val="23"/>
        </w:rPr>
        <w:tab/>
      </w:r>
      <w:r>
        <w:rPr>
          <w:rFonts w:ascii="Times New Roman" w:hAnsi="Times New Roman" w:cs="Times New Roman"/>
          <w:color w:val="auto"/>
          <w:sz w:val="23"/>
          <w:szCs w:val="23"/>
        </w:rPr>
        <w:tab/>
      </w:r>
      <w:r>
        <w:rPr>
          <w:rFonts w:ascii="Times New Roman" w:hAnsi="Times New Roman" w:cs="Times New Roman"/>
          <w:color w:val="auto"/>
          <w:sz w:val="23"/>
          <w:szCs w:val="23"/>
        </w:rPr>
        <w:tab/>
      </w:r>
      <w:r>
        <w:rPr>
          <w:rFonts w:ascii="Times New Roman" w:hAnsi="Times New Roman" w:cs="Times New Roman"/>
          <w:b/>
          <w:bCs/>
          <w:color w:val="auto"/>
          <w:sz w:val="23"/>
          <w:szCs w:val="23"/>
        </w:rPr>
        <w:t>0</w:t>
      </w:r>
      <w:r w:rsidRPr="004C4CA2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 </w:t>
      </w: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4C4CA2" w:rsidRDefault="004C4CA2" w:rsidP="004C4CA2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4C4CA2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f) další informace vztahující se k uplatňování tohoto zákona </w:t>
      </w: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:rsidR="004C4CA2" w:rsidRPr="004C4CA2" w:rsidRDefault="004C4CA2" w:rsidP="004C4CA2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 w:rsidRPr="004C4CA2">
        <w:rPr>
          <w:rFonts w:ascii="Times New Roman" w:hAnsi="Times New Roman" w:cs="Times New Roman"/>
          <w:color w:val="auto"/>
          <w:sz w:val="23"/>
          <w:szCs w:val="23"/>
        </w:rPr>
        <w:t xml:space="preserve">- obec jako povinný subjekt vyřizuje žádosti o informace vztahující se k její působnosti dle </w:t>
      </w:r>
      <w:proofErr w:type="spellStart"/>
      <w:r w:rsidRPr="004C4CA2">
        <w:rPr>
          <w:rFonts w:ascii="Times New Roman" w:hAnsi="Times New Roman" w:cs="Times New Roman"/>
          <w:color w:val="auto"/>
          <w:sz w:val="23"/>
          <w:szCs w:val="23"/>
        </w:rPr>
        <w:t>InfZ</w:t>
      </w:r>
      <w:proofErr w:type="spellEnd"/>
      <w:r w:rsidRPr="004C4CA2">
        <w:rPr>
          <w:rFonts w:ascii="Times New Roman" w:hAnsi="Times New Roman" w:cs="Times New Roman"/>
          <w:color w:val="auto"/>
          <w:sz w:val="23"/>
          <w:szCs w:val="23"/>
        </w:rPr>
        <w:t xml:space="preserve">, žádosti je možné podávat ústně nebo písemně adresovat jak na adresu obecního úřadu, tak na elektronickou podatelnu obce, žádost musí splňovat náležitosti § 14 </w:t>
      </w:r>
      <w:proofErr w:type="spellStart"/>
      <w:r w:rsidRPr="004C4CA2">
        <w:rPr>
          <w:rFonts w:ascii="Times New Roman" w:hAnsi="Times New Roman" w:cs="Times New Roman"/>
          <w:color w:val="auto"/>
          <w:sz w:val="23"/>
          <w:szCs w:val="23"/>
        </w:rPr>
        <w:t>InfZ</w:t>
      </w:r>
      <w:proofErr w:type="spellEnd"/>
    </w:p>
    <w:p w:rsidR="00872A67" w:rsidRDefault="00872A67" w:rsidP="004C4CA2"/>
    <w:sectPr w:rsidR="00872A67" w:rsidSect="00872A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CA2"/>
    <w:rsid w:val="004808F6"/>
    <w:rsid w:val="004C4CA2"/>
    <w:rsid w:val="006D4835"/>
    <w:rsid w:val="006E7102"/>
    <w:rsid w:val="00872A67"/>
    <w:rsid w:val="00874958"/>
    <w:rsid w:val="008F4B1A"/>
    <w:rsid w:val="0096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963AD7-4129-4FB8-A189-18E9D549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72A6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C4C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Jitka Horáková</cp:lastModifiedBy>
  <cp:revision>4</cp:revision>
  <dcterms:created xsi:type="dcterms:W3CDTF">2020-06-15T20:11:00Z</dcterms:created>
  <dcterms:modified xsi:type="dcterms:W3CDTF">2020-06-18T19:27:00Z</dcterms:modified>
</cp:coreProperties>
</file>